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D9A78" w:themeColor="accent1"/>
  <w:body>
    <w:p w14:paraId="0D59339A" w14:textId="5F647157" w:rsidR="00B3222E" w:rsidRPr="00966694" w:rsidRDefault="00966694" w:rsidP="00112B93">
      <w:pPr>
        <w:rPr>
          <w:rFonts w:cstheme="minorHAnsi"/>
          <w:b/>
          <w:bCs/>
          <w:color w:val="8BC145" w:themeColor="accent2"/>
          <w:sz w:val="48"/>
          <w:szCs w:val="48"/>
        </w:rPr>
      </w:pPr>
      <w:r w:rsidRPr="00045A52">
        <w:rPr>
          <w:rFonts w:cstheme="minorHAnsi"/>
          <w:b/>
          <w:bCs/>
          <w:color w:val="8BC145" w:themeColor="accent2"/>
          <w:sz w:val="48"/>
          <w:szCs w:val="48"/>
        </w:rPr>
        <w:t xml:space="preserve">LLEP </w:t>
      </w:r>
      <w:r w:rsidR="000656F7">
        <w:rPr>
          <w:rFonts w:cstheme="minorHAnsi"/>
          <w:b/>
          <w:bCs/>
          <w:color w:val="8BC145" w:themeColor="accent2"/>
          <w:sz w:val="48"/>
          <w:szCs w:val="48"/>
        </w:rPr>
        <w:t xml:space="preserve">Careers Hub </w:t>
      </w:r>
      <w:r w:rsidRPr="00045A52">
        <w:rPr>
          <w:rFonts w:cstheme="minorHAnsi"/>
          <w:b/>
          <w:bCs/>
          <w:color w:val="8BC145" w:themeColor="accent2"/>
          <w:sz w:val="48"/>
          <w:szCs w:val="48"/>
        </w:rPr>
        <w:t>Transformations</w:t>
      </w:r>
    </w:p>
    <w:p w14:paraId="6024AF9F" w14:textId="04988B60" w:rsidR="00112B93" w:rsidRDefault="009B293D" w:rsidP="007F402E">
      <w:pPr>
        <w:rPr>
          <w:b/>
          <w:bCs/>
          <w:noProof/>
          <w:color w:val="FFFFFF" w:themeColor="background1"/>
          <w:sz w:val="48"/>
          <w:szCs w:val="48"/>
        </w:rPr>
      </w:pPr>
      <w:r>
        <w:rPr>
          <w:b/>
          <w:bCs/>
          <w:noProof/>
          <w:color w:val="FFFFFF" w:themeColor="background1"/>
          <w:sz w:val="48"/>
          <w:szCs w:val="48"/>
        </w:rPr>
        <w:t>BM5</w:t>
      </w:r>
      <w:r w:rsidR="000656F7">
        <w:rPr>
          <w:b/>
          <w:bCs/>
          <w:noProof/>
          <w:color w:val="FFFFFF" w:themeColor="background1"/>
          <w:sz w:val="48"/>
          <w:szCs w:val="48"/>
        </w:rPr>
        <w:t xml:space="preserve">: </w:t>
      </w:r>
      <w:r w:rsidR="001E67C2">
        <w:rPr>
          <w:b/>
          <w:bCs/>
          <w:noProof/>
          <w:color w:val="FFFFFF" w:themeColor="background1"/>
          <w:sz w:val="48"/>
          <w:szCs w:val="48"/>
        </w:rPr>
        <w:t>Suggested Solutions</w:t>
      </w:r>
    </w:p>
    <w:p w14:paraId="1E324ED0" w14:textId="0B064DEB" w:rsidR="00FE6B5C" w:rsidRDefault="00FE6B5C" w:rsidP="007F402E">
      <w:pPr>
        <w:rPr>
          <w:b/>
          <w:bCs/>
          <w:noProof/>
          <w:color w:val="FFFFFF" w:themeColor="background1"/>
          <w:sz w:val="48"/>
          <w:szCs w:val="48"/>
        </w:rPr>
      </w:pPr>
    </w:p>
    <w:p w14:paraId="0BE7E75F" w14:textId="10B1F86A" w:rsidR="00FE6B5C" w:rsidRDefault="00FE6B5C" w:rsidP="00E04078">
      <w:pPr>
        <w:spacing w:line="276" w:lineRule="auto"/>
        <w:rPr>
          <w:noProof/>
          <w:color w:val="FFFFFF" w:themeColor="background1"/>
        </w:rPr>
      </w:pPr>
      <w:r w:rsidRPr="00E04078">
        <w:rPr>
          <w:noProof/>
          <w:color w:val="FFFFFF" w:themeColor="background1"/>
        </w:rPr>
        <w:t>All learners should have encounters with employers and employees that result in a better understanding of the workplace and the potential career paths open to them</w:t>
      </w:r>
      <w:r w:rsidR="00E04078">
        <w:rPr>
          <w:noProof/>
          <w:color w:val="FFFFFF" w:themeColor="background1"/>
        </w:rPr>
        <w:t>.</w:t>
      </w:r>
    </w:p>
    <w:p w14:paraId="1693B9DD" w14:textId="3C4E09B9" w:rsidR="0038150F" w:rsidRDefault="0038150F" w:rsidP="00E04078">
      <w:pPr>
        <w:spacing w:line="276" w:lineRule="auto"/>
        <w:rPr>
          <w:noProof/>
          <w:color w:val="FFFFFF" w:themeColor="background1"/>
        </w:rPr>
      </w:pPr>
    </w:p>
    <w:p w14:paraId="79F07E7A" w14:textId="0E369AFA" w:rsidR="0038150F" w:rsidRDefault="0038150F" w:rsidP="00E04078">
      <w:pPr>
        <w:spacing w:line="276" w:lineRule="auto"/>
        <w:rPr>
          <w:b/>
          <w:bCs/>
          <w:noProof/>
          <w:color w:val="FFFFFF" w:themeColor="background1"/>
          <w:sz w:val="32"/>
          <w:szCs w:val="32"/>
        </w:rPr>
      </w:pPr>
      <w:r w:rsidRPr="0038150F">
        <w:rPr>
          <w:b/>
          <w:bCs/>
          <w:noProof/>
          <w:color w:val="FFFFFF" w:themeColor="background1"/>
          <w:sz w:val="32"/>
          <w:szCs w:val="32"/>
        </w:rPr>
        <w:t>Schools</w:t>
      </w:r>
    </w:p>
    <w:p w14:paraId="58C9E1BC" w14:textId="11FC2954" w:rsidR="0038150F" w:rsidRDefault="00F440CC" w:rsidP="00E04078">
      <w:pPr>
        <w:spacing w:line="276" w:lineRule="auto"/>
        <w:rPr>
          <w:noProof/>
          <w:color w:val="FFFFFF" w:themeColor="background1"/>
        </w:rPr>
      </w:pPr>
      <w:r w:rsidRPr="00F440CC">
        <w:rPr>
          <w:b/>
          <w:bCs/>
          <w:noProof/>
          <w:color w:val="FFFFFF" w:themeColor="background1"/>
        </w:rPr>
        <w:t>Every year</w:t>
      </w:r>
      <w:r w:rsidRPr="00F440CC">
        <w:rPr>
          <w:noProof/>
          <w:color w:val="FFFFFF" w:themeColor="background1"/>
        </w:rPr>
        <w:t xml:space="preserve">, from the age of 11, pupils should participate in at least </w:t>
      </w:r>
      <w:r w:rsidRPr="00F440CC">
        <w:rPr>
          <w:b/>
          <w:bCs/>
          <w:noProof/>
          <w:color w:val="FFFFFF" w:themeColor="background1"/>
        </w:rPr>
        <w:t xml:space="preserve">one meaningful encounter </w:t>
      </w:r>
      <w:r w:rsidRPr="00F440CC">
        <w:rPr>
          <w:noProof/>
          <w:color w:val="FFFFFF" w:themeColor="background1"/>
        </w:rPr>
        <w:t>with an employer</w:t>
      </w:r>
      <w:r>
        <w:rPr>
          <w:noProof/>
          <w:color w:val="FFFFFF" w:themeColor="background1"/>
        </w:rPr>
        <w:t>.</w:t>
      </w:r>
    </w:p>
    <w:p w14:paraId="11CA25DA" w14:textId="131AE7BA" w:rsidR="00F440CC" w:rsidRDefault="00F440CC" w:rsidP="00E04078">
      <w:pPr>
        <w:spacing w:line="276" w:lineRule="auto"/>
        <w:rPr>
          <w:noProof/>
          <w:color w:val="FFFFFF" w:themeColor="background1"/>
        </w:rPr>
      </w:pPr>
    </w:p>
    <w:p w14:paraId="30B64883" w14:textId="3746A735" w:rsidR="001F0928" w:rsidRDefault="001F0928" w:rsidP="001F0928">
      <w:pPr>
        <w:spacing w:line="276" w:lineRule="auto"/>
        <w:rPr>
          <w:b/>
          <w:bCs/>
          <w:noProof/>
          <w:color w:val="FFFFFF" w:themeColor="background1"/>
          <w:sz w:val="32"/>
          <w:szCs w:val="32"/>
        </w:rPr>
      </w:pPr>
      <w:r>
        <w:rPr>
          <w:b/>
          <w:bCs/>
          <w:noProof/>
          <w:color w:val="FFFFFF" w:themeColor="background1"/>
          <w:sz w:val="32"/>
          <w:szCs w:val="32"/>
        </w:rPr>
        <w:t>Colleges</w:t>
      </w:r>
    </w:p>
    <w:p w14:paraId="4857F4E5" w14:textId="5074A48F" w:rsidR="000C7774" w:rsidRDefault="00974C53" w:rsidP="00E04078">
      <w:pPr>
        <w:spacing w:line="276" w:lineRule="auto"/>
        <w:rPr>
          <w:noProof/>
          <w:color w:val="FFFFFF" w:themeColor="background1"/>
        </w:rPr>
      </w:pPr>
      <w:r w:rsidRPr="00974C53">
        <w:rPr>
          <w:b/>
          <w:bCs/>
          <w:noProof/>
          <w:color w:val="FFFFFF" w:themeColor="background1"/>
        </w:rPr>
        <w:t>Every year</w:t>
      </w:r>
      <w:r w:rsidRPr="00974C53">
        <w:rPr>
          <w:noProof/>
          <w:color w:val="FFFFFF" w:themeColor="background1"/>
        </w:rPr>
        <w:t xml:space="preserve">, alonside their study programme, students in colleges should participate in at least </w:t>
      </w:r>
      <w:r w:rsidRPr="00974C53">
        <w:rPr>
          <w:b/>
          <w:bCs/>
          <w:noProof/>
          <w:color w:val="FFFFFF" w:themeColor="background1"/>
        </w:rPr>
        <w:t>two meaningful encounters</w:t>
      </w:r>
      <w:r w:rsidRPr="00974C53">
        <w:rPr>
          <w:noProof/>
          <w:color w:val="FFFFFF" w:themeColor="background1"/>
        </w:rPr>
        <w:t xml:space="preserve"> with an employer. </w:t>
      </w:r>
      <w:r w:rsidR="008257B9" w:rsidRPr="008257B9">
        <w:rPr>
          <w:noProof/>
          <w:color w:val="FFFFFF" w:themeColor="background1"/>
        </w:rPr>
        <w:t>Colleges should record and take account of students’ own part time employment and the influence this has had on their development</w:t>
      </w:r>
      <w:r w:rsidR="0003446D">
        <w:rPr>
          <w:noProof/>
          <w:color w:val="FFFFFF" w:themeColor="background1"/>
        </w:rPr>
        <w:t>.</w:t>
      </w:r>
    </w:p>
    <w:p w14:paraId="25D9EEF9" w14:textId="77777777" w:rsidR="001A2CDA" w:rsidRDefault="001A2CDA" w:rsidP="00E04078">
      <w:pPr>
        <w:spacing w:line="276" w:lineRule="auto"/>
        <w:rPr>
          <w:noProof/>
          <w:color w:val="FFFFFF" w:themeColor="background1"/>
        </w:rPr>
      </w:pPr>
    </w:p>
    <w:p w14:paraId="444971A1" w14:textId="54C45B2A" w:rsidR="000C7774" w:rsidRPr="000C7774" w:rsidRDefault="00867E9B" w:rsidP="00E04078">
      <w:pPr>
        <w:spacing w:line="276" w:lineRule="auto"/>
        <w:rPr>
          <w:strike/>
          <w:noProof/>
          <w:color w:val="FFFFFF" w:themeColor="background1"/>
        </w:rPr>
      </w:pPr>
      <w:r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A453F5" wp14:editId="2BF385EA">
                <wp:simplePos x="0" y="0"/>
                <wp:positionH relativeFrom="column">
                  <wp:posOffset>-254000</wp:posOffset>
                </wp:positionH>
                <wp:positionV relativeFrom="paragraph">
                  <wp:posOffset>147955</wp:posOffset>
                </wp:positionV>
                <wp:extent cx="6121400" cy="20701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20701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8CDD8" id="Rectangle 7" o:spid="_x0000_s1026" style="position:absolute;margin-left:-20pt;margin-top:11.65pt;width:482pt;height:16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" fillcolor="#f19d19 [3209]" stroked="f" strokeweight="1pt"/>
            </w:pict>
          </mc:Fallback>
        </mc:AlternateContent>
      </w:r>
    </w:p>
    <w:p w14:paraId="15571214" w14:textId="49AC5377" w:rsidR="0003446D" w:rsidRDefault="0003446D" w:rsidP="00E04078">
      <w:pPr>
        <w:spacing w:line="276" w:lineRule="auto"/>
        <w:rPr>
          <w:noProof/>
          <w:color w:val="FFFFFF" w:themeColor="background1"/>
        </w:rPr>
      </w:pPr>
    </w:p>
    <w:p w14:paraId="3FCCEA35" w14:textId="4E1E1146" w:rsidR="0003446D" w:rsidRDefault="0003446D" w:rsidP="0003446D">
      <w:pPr>
        <w:spacing w:line="276" w:lineRule="auto"/>
        <w:rPr>
          <w:noProof/>
          <w:color w:val="FFFFFF" w:themeColor="background1"/>
        </w:rPr>
      </w:pPr>
      <w:r w:rsidRPr="0003446D">
        <w:rPr>
          <w:noProof/>
          <w:color w:val="FFFFFF" w:themeColor="background1"/>
        </w:rPr>
        <w:t xml:space="preserve">A ‘meaningful encounter’ is one in which the student has the opportunity to learn about what work is like or what it takes to be successful in the workplace - </w:t>
      </w:r>
      <w:hyperlink r:id="rId7" w:history="1">
        <w:r w:rsidRPr="0003446D">
          <w:rPr>
            <w:rStyle w:val="Hyperlink"/>
            <w:noProof/>
            <w:color w:val="FFFFFF" w:themeColor="background1"/>
          </w:rPr>
          <w:t>https://resources.careersandenterprise.co.uk/resources/making-it-meaningful</w:t>
        </w:r>
      </w:hyperlink>
    </w:p>
    <w:p w14:paraId="5971FFE3" w14:textId="5D7F4F76" w:rsidR="0003446D" w:rsidRDefault="0003446D" w:rsidP="0003446D">
      <w:pPr>
        <w:spacing w:line="276" w:lineRule="auto"/>
        <w:rPr>
          <w:noProof/>
          <w:color w:val="FFFFFF" w:themeColor="background1"/>
        </w:rPr>
      </w:pPr>
    </w:p>
    <w:p w14:paraId="16588DAE" w14:textId="0436D7A3" w:rsidR="0003446D" w:rsidRPr="0003446D" w:rsidRDefault="000C7774" w:rsidP="0003446D">
      <w:pPr>
        <w:spacing w:line="276" w:lineRule="auto"/>
        <w:rPr>
          <w:noProof/>
          <w:color w:val="FFFFFF" w:themeColor="background1"/>
        </w:rPr>
      </w:pPr>
      <w:r w:rsidRPr="000C7774">
        <w:rPr>
          <w:noProof/>
          <w:color w:val="FFFFFF" w:themeColor="background1"/>
        </w:rPr>
        <w:t>"A young person who has four or more meaningful encounters with an employer is 86% less likely to be unemployed or not in education or training (NEET) and can earn up to 22% more during their career"</w:t>
      </w:r>
    </w:p>
    <w:p w14:paraId="0C0E7575" w14:textId="2DCD5CC4" w:rsidR="006228CF" w:rsidRDefault="006228CF" w:rsidP="006228CF">
      <w:pPr>
        <w:rPr>
          <w:color w:val="404040" w:themeColor="text1" w:themeTint="BF"/>
        </w:rPr>
      </w:pPr>
    </w:p>
    <w:p w14:paraId="7B76CDE4" w14:textId="33D3FC94" w:rsidR="00496226" w:rsidRDefault="00496226" w:rsidP="006228CF">
      <w:pPr>
        <w:rPr>
          <w:color w:val="404040" w:themeColor="text1" w:themeTint="BF"/>
        </w:rPr>
      </w:pPr>
    </w:p>
    <w:p w14:paraId="284FA10B" w14:textId="668D7F13" w:rsidR="00D446F7" w:rsidRDefault="00190A4F" w:rsidP="00BC13D1">
      <w:pPr>
        <w:spacing w:line="276" w:lineRule="auto"/>
        <w:rPr>
          <w:b/>
          <w:bCs/>
          <w:noProof/>
          <w:color w:val="FFFFFF" w:themeColor="background1"/>
          <w:sz w:val="32"/>
          <w:szCs w:val="32"/>
        </w:rPr>
      </w:pPr>
      <w:r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DA4ECD6" wp14:editId="1655F561">
                <wp:simplePos x="0" y="0"/>
                <wp:positionH relativeFrom="column">
                  <wp:posOffset>-256309</wp:posOffset>
                </wp:positionH>
                <wp:positionV relativeFrom="paragraph">
                  <wp:posOffset>71870</wp:posOffset>
                </wp:positionV>
                <wp:extent cx="6121400" cy="1302328"/>
                <wp:effectExtent l="0" t="0" r="0" b="6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130232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A6546" id="Rectangle 6" o:spid="_x0000_s1026" style="position:absolute;margin-left:-20.2pt;margin-top:5.65pt;width:482pt;height:102.5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" fillcolor="#8bc145 [3205]" stroked="f" strokeweight="1pt"/>
            </w:pict>
          </mc:Fallback>
        </mc:AlternateContent>
      </w:r>
    </w:p>
    <w:p w14:paraId="2294D9FA" w14:textId="28C1A7D0" w:rsidR="00BC13D1" w:rsidRDefault="00BC13D1" w:rsidP="00BC13D1">
      <w:pPr>
        <w:spacing w:line="276" w:lineRule="auto"/>
        <w:rPr>
          <w:b/>
          <w:bCs/>
          <w:noProof/>
          <w:color w:val="FFFFFF" w:themeColor="background1"/>
          <w:sz w:val="32"/>
          <w:szCs w:val="32"/>
        </w:rPr>
      </w:pPr>
      <w:r>
        <w:rPr>
          <w:b/>
          <w:bCs/>
          <w:noProof/>
          <w:color w:val="FFFFFF" w:themeColor="background1"/>
          <w:sz w:val="32"/>
          <w:szCs w:val="32"/>
        </w:rPr>
        <w:t>Local &amp; Virtual Providers</w:t>
      </w:r>
    </w:p>
    <w:p w14:paraId="33B193E9" w14:textId="1DEBD19E" w:rsidR="004369F5" w:rsidRPr="00190A4F" w:rsidRDefault="004369F5" w:rsidP="004369F5">
      <w:pPr>
        <w:spacing w:line="276" w:lineRule="auto"/>
        <w:rPr>
          <w:rFonts w:ascii="Times New Roman" w:eastAsia="Times New Roman" w:hAnsi="Times New Roman" w:cs="Times New Roman"/>
          <w:color w:val="FFFFFF" w:themeColor="background1"/>
          <w:lang w:eastAsia="en-GB"/>
        </w:rPr>
      </w:pPr>
      <w:r w:rsidRPr="00190A4F">
        <w:rPr>
          <w:rFonts w:ascii="Calibri" w:eastAsia="Times New Roman" w:hAnsi="Calibri" w:cs="Calibri"/>
          <w:color w:val="FFFFFF" w:themeColor="background1"/>
          <w:lang w:eastAsia="en-GB"/>
        </w:rPr>
        <w:t>We’ve spent time gathering useful information to create a shortlist of suggestions that fully meet Benchmark 5 for your students –</w:t>
      </w:r>
      <w:r w:rsidR="00964A0B" w:rsidRPr="00190A4F">
        <w:rPr>
          <w:rFonts w:ascii="Calibri" w:eastAsia="Times New Roman" w:hAnsi="Calibri" w:cs="Calibri"/>
          <w:color w:val="FFFFFF" w:themeColor="background1"/>
          <w:lang w:eastAsia="en-GB"/>
        </w:rPr>
        <w:t xml:space="preserve"> access the download on our website </w:t>
      </w:r>
      <w:r w:rsidRPr="00190A4F">
        <w:rPr>
          <w:rFonts w:ascii="Calibri" w:eastAsia="Times New Roman" w:hAnsi="Calibri" w:cs="Calibri"/>
          <w:color w:val="FFFFFF" w:themeColor="background1"/>
          <w:lang w:eastAsia="en-GB"/>
        </w:rPr>
        <w:t>to see our shortlisted solutions!</w:t>
      </w:r>
    </w:p>
    <w:p w14:paraId="12442EE6" w14:textId="24B28D18" w:rsidR="00496226" w:rsidRDefault="00496226" w:rsidP="006228CF">
      <w:pPr>
        <w:rPr>
          <w:color w:val="404040" w:themeColor="text1" w:themeTint="BF"/>
        </w:rPr>
      </w:pPr>
    </w:p>
    <w:p w14:paraId="7EC836C5" w14:textId="61EA0DF6" w:rsidR="00496226" w:rsidRDefault="00496226" w:rsidP="006228CF">
      <w:pPr>
        <w:rPr>
          <w:color w:val="404040" w:themeColor="text1" w:themeTint="BF"/>
        </w:rPr>
      </w:pPr>
    </w:p>
    <w:p w14:paraId="6B2693DF" w14:textId="4203B55E" w:rsidR="00496226" w:rsidRDefault="00496226" w:rsidP="006228CF">
      <w:pPr>
        <w:rPr>
          <w:color w:val="404040" w:themeColor="text1" w:themeTint="BF"/>
        </w:rPr>
      </w:pPr>
    </w:p>
    <w:p w14:paraId="2351AB98" w14:textId="0F30B4E6" w:rsidR="00496226" w:rsidRDefault="00496226" w:rsidP="006228CF">
      <w:pPr>
        <w:rPr>
          <w:color w:val="404040" w:themeColor="text1" w:themeTint="BF"/>
        </w:rPr>
      </w:pPr>
    </w:p>
    <w:p w14:paraId="5A988464" w14:textId="77777777" w:rsidR="00496226" w:rsidRPr="002D44B9" w:rsidRDefault="00496226" w:rsidP="006228CF">
      <w:pPr>
        <w:rPr>
          <w:color w:val="404040" w:themeColor="text1" w:themeTint="BF"/>
        </w:rPr>
      </w:pPr>
    </w:p>
    <w:p w14:paraId="72DC7B6E" w14:textId="77777777" w:rsidR="00BB7763" w:rsidRDefault="00BB7763" w:rsidP="006228CF">
      <w:pPr>
        <w:rPr>
          <w:color w:val="FFFFFF" w:themeColor="background1"/>
        </w:rPr>
      </w:pPr>
    </w:p>
    <w:tbl>
      <w:tblPr>
        <w:tblStyle w:val="GridTable4-Accent2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96226" w14:paraId="6CEA9A83" w14:textId="0FE860D3" w:rsidTr="00EC3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4B1439DB" w14:textId="597F69F1" w:rsidR="00496226" w:rsidRPr="004717CA" w:rsidRDefault="00EC3197" w:rsidP="00EC319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SUGGESTED CAREERS FOCUS (per year group)</w:t>
            </w:r>
          </w:p>
        </w:tc>
        <w:tc>
          <w:tcPr>
            <w:tcW w:w="4819" w:type="dxa"/>
            <w:vAlign w:val="center"/>
          </w:tcPr>
          <w:p w14:paraId="61FC536F" w14:textId="6529071A" w:rsidR="00496226" w:rsidRDefault="00496226" w:rsidP="00270EF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96226" w14:paraId="5DFBBB02" w14:textId="3B2F27B6" w:rsidTr="0049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7F368135" w14:textId="6537BCE6" w:rsidR="00496226" w:rsidRPr="007012D5" w:rsidRDefault="007012D5" w:rsidP="00EC4672">
            <w:pPr>
              <w:spacing w:line="276" w:lineRule="auto"/>
              <w:rPr>
                <w:rFonts w:cstheme="minorHAnsi"/>
                <w:color w:val="FFFFFF" w:themeColor="background1"/>
              </w:rPr>
            </w:pPr>
            <w:r w:rsidRPr="007012D5">
              <w:rPr>
                <w:rFonts w:cstheme="minorHAnsi"/>
                <w:color w:val="1D9A78" w:themeColor="accent1"/>
              </w:rPr>
              <w:t>Years 7-8</w:t>
            </w:r>
          </w:p>
        </w:tc>
        <w:tc>
          <w:tcPr>
            <w:tcW w:w="4819" w:type="dxa"/>
            <w:vAlign w:val="center"/>
          </w:tcPr>
          <w:p w14:paraId="6907C490" w14:textId="7F7DE917" w:rsidR="00496226" w:rsidRPr="007012D5" w:rsidRDefault="00491B59" w:rsidP="00EC46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491B59">
              <w:rPr>
                <w:rFonts w:cstheme="minorHAnsi"/>
                <w:color w:val="1D9A78" w:themeColor="accent1"/>
              </w:rPr>
              <w:t>Exploring student's interests and motivations and developing a broad understanding of the world of work</w:t>
            </w:r>
            <w:r>
              <w:rPr>
                <w:rFonts w:cstheme="minorHAnsi"/>
                <w:color w:val="1D9A78" w:themeColor="accent1"/>
              </w:rPr>
              <w:t>.</w:t>
            </w:r>
          </w:p>
        </w:tc>
      </w:tr>
      <w:tr w:rsidR="00496226" w14:paraId="3EFC839E" w14:textId="4E746792" w:rsidTr="00862654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FFFFFF" w:themeFill="background1"/>
            <w:vAlign w:val="center"/>
          </w:tcPr>
          <w:p w14:paraId="1D4232B7" w14:textId="189EEB14" w:rsidR="00496226" w:rsidRPr="006C70DC" w:rsidRDefault="007012D5" w:rsidP="00721B97">
            <w:pPr>
              <w:spacing w:line="276" w:lineRule="auto"/>
              <w:rPr>
                <w:rFonts w:cstheme="minorHAnsi"/>
                <w:color w:val="1D9A78" w:themeColor="accent1"/>
              </w:rPr>
            </w:pPr>
            <w:r w:rsidRPr="007012D5">
              <w:rPr>
                <w:rFonts w:cstheme="minorHAnsi"/>
                <w:color w:val="1D9A78" w:themeColor="accent1"/>
              </w:rPr>
              <w:t xml:space="preserve">Years </w:t>
            </w:r>
            <w:r>
              <w:rPr>
                <w:rFonts w:cstheme="minorHAnsi"/>
                <w:color w:val="1D9A78" w:themeColor="accent1"/>
              </w:rPr>
              <w:t>9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0FA05B0B" w14:textId="2B06CAE7" w:rsidR="00496226" w:rsidRPr="00491B59" w:rsidRDefault="00491B59" w:rsidP="00491B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D9A78" w:themeColor="accent1"/>
              </w:rPr>
            </w:pPr>
            <w:r w:rsidRPr="00491B59">
              <w:rPr>
                <w:rFonts w:cstheme="minorHAnsi"/>
                <w:color w:val="1D9A78" w:themeColor="accent1"/>
              </w:rPr>
              <w:t>Building aspirations and exploring career opportunities in more detail</w:t>
            </w:r>
            <w:r>
              <w:rPr>
                <w:rFonts w:cstheme="minorHAnsi"/>
                <w:color w:val="1D9A78" w:themeColor="accent1"/>
              </w:rPr>
              <w:t>.</w:t>
            </w:r>
          </w:p>
        </w:tc>
      </w:tr>
      <w:tr w:rsidR="00496226" w14:paraId="70B95D10" w14:textId="03339F41" w:rsidTr="00862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785212D8" w14:textId="1D3A53A7" w:rsidR="00496226" w:rsidRDefault="007012D5" w:rsidP="00721B97">
            <w:pPr>
              <w:spacing w:line="276" w:lineRule="auto"/>
              <w:rPr>
                <w:rFonts w:cstheme="minorHAnsi"/>
                <w:color w:val="FFFFFF" w:themeColor="background1"/>
              </w:rPr>
            </w:pPr>
            <w:r w:rsidRPr="007012D5">
              <w:rPr>
                <w:rFonts w:cstheme="minorHAnsi"/>
                <w:color w:val="1D9A78" w:themeColor="accent1"/>
              </w:rPr>
              <w:t xml:space="preserve">Years </w:t>
            </w:r>
            <w:r>
              <w:rPr>
                <w:rFonts w:cstheme="minorHAnsi"/>
                <w:color w:val="1D9A78" w:themeColor="accent1"/>
              </w:rPr>
              <w:t>10</w:t>
            </w:r>
          </w:p>
        </w:tc>
        <w:tc>
          <w:tcPr>
            <w:tcW w:w="4819" w:type="dxa"/>
            <w:vAlign w:val="center"/>
          </w:tcPr>
          <w:p w14:paraId="7FA9EF7C" w14:textId="6CBCF23C" w:rsidR="00496226" w:rsidRPr="00491B59" w:rsidRDefault="00491B59" w:rsidP="00721B9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491B59">
              <w:rPr>
                <w:rFonts w:cstheme="minorHAnsi"/>
                <w:color w:val="1D9A78" w:themeColor="accent1"/>
              </w:rPr>
              <w:t>Self-presentation and exploring what employers want</w:t>
            </w:r>
            <w:r>
              <w:rPr>
                <w:rFonts w:cstheme="minorHAnsi"/>
                <w:color w:val="1D9A78" w:themeColor="accent1"/>
              </w:rPr>
              <w:t>.</w:t>
            </w:r>
          </w:p>
        </w:tc>
      </w:tr>
      <w:tr w:rsidR="00496226" w14:paraId="0989527B" w14:textId="0A608B95" w:rsidTr="00862654">
        <w:trPr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FFFFFF" w:themeFill="background1"/>
            <w:vAlign w:val="center"/>
          </w:tcPr>
          <w:p w14:paraId="12340FFF" w14:textId="1D1B63DC" w:rsidR="00496226" w:rsidRPr="00121E0D" w:rsidRDefault="007012D5" w:rsidP="00721B97">
            <w:pPr>
              <w:spacing w:line="276" w:lineRule="auto"/>
              <w:rPr>
                <w:rFonts w:cstheme="minorHAnsi"/>
                <w:b w:val="0"/>
                <w:bCs w:val="0"/>
                <w:color w:val="1D9A78" w:themeColor="accent1"/>
              </w:rPr>
            </w:pPr>
            <w:r w:rsidRPr="007012D5">
              <w:rPr>
                <w:rFonts w:cstheme="minorHAnsi"/>
                <w:color w:val="1D9A78" w:themeColor="accent1"/>
              </w:rPr>
              <w:t xml:space="preserve">Years </w:t>
            </w:r>
            <w:r>
              <w:rPr>
                <w:rFonts w:cstheme="minorHAnsi"/>
                <w:color w:val="1D9A78" w:themeColor="accent1"/>
              </w:rPr>
              <w:t>11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725673BD" w14:textId="1BD31AB2" w:rsidR="00496226" w:rsidRPr="00491B59" w:rsidRDefault="00491B59" w:rsidP="00721B9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D9A78" w:themeColor="accent1"/>
              </w:rPr>
            </w:pPr>
            <w:r w:rsidRPr="00491B59">
              <w:rPr>
                <w:rFonts w:cstheme="minorHAnsi"/>
                <w:color w:val="1D9A78" w:themeColor="accent1"/>
              </w:rPr>
              <w:t>Practical focus on making plans and applications for Post 16 learning</w:t>
            </w:r>
            <w:r>
              <w:rPr>
                <w:rFonts w:cstheme="minorHAnsi"/>
                <w:color w:val="1D9A78" w:themeColor="accent1"/>
              </w:rPr>
              <w:t>.</w:t>
            </w:r>
          </w:p>
        </w:tc>
      </w:tr>
      <w:tr w:rsidR="00496226" w14:paraId="002BD0AB" w14:textId="4B147CD3" w:rsidTr="00862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742DEFC1" w14:textId="6CC43C13" w:rsidR="00496226" w:rsidRDefault="004959A3" w:rsidP="00721B97">
            <w:pPr>
              <w:spacing w:line="276" w:lineRule="auto"/>
              <w:rPr>
                <w:rFonts w:cstheme="minorHAnsi"/>
                <w:color w:val="FFFFFF" w:themeColor="background1"/>
              </w:rPr>
            </w:pPr>
            <w:r w:rsidRPr="007012D5">
              <w:rPr>
                <w:rFonts w:cstheme="minorHAnsi"/>
                <w:color w:val="1D9A78" w:themeColor="accent1"/>
              </w:rPr>
              <w:t xml:space="preserve">Years </w:t>
            </w:r>
            <w:r>
              <w:rPr>
                <w:rFonts w:cstheme="minorHAnsi"/>
                <w:color w:val="1D9A78" w:themeColor="accent1"/>
              </w:rPr>
              <w:t>12-1</w:t>
            </w:r>
            <w:r w:rsidR="0060404E">
              <w:rPr>
                <w:rFonts w:cstheme="minorHAnsi"/>
                <w:color w:val="1D9A78" w:themeColor="accent1"/>
              </w:rPr>
              <w:t>3</w:t>
            </w:r>
          </w:p>
        </w:tc>
        <w:tc>
          <w:tcPr>
            <w:tcW w:w="4819" w:type="dxa"/>
            <w:vAlign w:val="center"/>
          </w:tcPr>
          <w:p w14:paraId="2153AC5C" w14:textId="5CA96E87" w:rsidR="00496226" w:rsidRPr="00491B59" w:rsidRDefault="00491B59" w:rsidP="00721B9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491B59">
              <w:rPr>
                <w:rFonts w:cstheme="minorHAnsi"/>
                <w:color w:val="1D9A78" w:themeColor="accent1"/>
              </w:rPr>
              <w:t xml:space="preserve">Structured Work experience, </w:t>
            </w:r>
            <w:proofErr w:type="gramStart"/>
            <w:r w:rsidRPr="00491B59">
              <w:rPr>
                <w:rFonts w:cstheme="minorHAnsi"/>
                <w:color w:val="1D9A78" w:themeColor="accent1"/>
              </w:rPr>
              <w:t>volunteering</w:t>
            </w:r>
            <w:proofErr w:type="gramEnd"/>
            <w:r w:rsidRPr="00491B59">
              <w:rPr>
                <w:rFonts w:cstheme="minorHAnsi"/>
                <w:color w:val="1D9A78" w:themeColor="accent1"/>
              </w:rPr>
              <w:t xml:space="preserve"> and personal development</w:t>
            </w:r>
            <w:r>
              <w:rPr>
                <w:rFonts w:cstheme="minorHAnsi"/>
                <w:color w:val="1D9A78" w:themeColor="accent1"/>
              </w:rPr>
              <w:t>.</w:t>
            </w:r>
          </w:p>
        </w:tc>
      </w:tr>
    </w:tbl>
    <w:p w14:paraId="4612DC57" w14:textId="77777777" w:rsidR="00651E3C" w:rsidRDefault="00651E3C" w:rsidP="006228CF">
      <w:pPr>
        <w:rPr>
          <w:color w:val="FFFFFF" w:themeColor="background1"/>
        </w:rPr>
      </w:pPr>
    </w:p>
    <w:p w14:paraId="7B610753" w14:textId="0E570362" w:rsidR="007C4AD1" w:rsidRDefault="007C4AD1" w:rsidP="00707E25">
      <w:pPr>
        <w:spacing w:line="276" w:lineRule="auto"/>
        <w:rPr>
          <w:rFonts w:cstheme="minorHAnsi"/>
          <w:color w:val="FFFFFF" w:themeColor="background1"/>
        </w:rPr>
      </w:pPr>
    </w:p>
    <w:p w14:paraId="5CE35A29" w14:textId="733B2E45" w:rsidR="00FD6F3E" w:rsidRDefault="00FD6F3E" w:rsidP="00707E25">
      <w:pPr>
        <w:spacing w:line="276" w:lineRule="auto"/>
        <w:rPr>
          <w:rFonts w:cstheme="minorHAnsi"/>
          <w:b/>
          <w:bCs/>
          <w:color w:val="FFFFFF" w:themeColor="background1"/>
          <w:sz w:val="32"/>
          <w:szCs w:val="32"/>
        </w:rPr>
      </w:pPr>
      <w:r w:rsidRPr="00FD6F3E">
        <w:rPr>
          <w:rFonts w:cstheme="minorHAnsi"/>
          <w:b/>
          <w:bCs/>
          <w:color w:val="FFFFFF" w:themeColor="background1"/>
          <w:sz w:val="32"/>
          <w:szCs w:val="32"/>
        </w:rPr>
        <w:t>Minimum requirements to include an activity under Benchmark 5:</w:t>
      </w:r>
    </w:p>
    <w:p w14:paraId="406AF84A" w14:textId="77777777" w:rsidR="002F486C" w:rsidRDefault="002F486C" w:rsidP="00707E25">
      <w:pPr>
        <w:spacing w:line="276" w:lineRule="auto"/>
        <w:rPr>
          <w:rFonts w:cstheme="minorHAnsi"/>
          <w:b/>
          <w:bCs/>
          <w:color w:val="FFFFFF" w:themeColor="background1"/>
          <w:sz w:val="32"/>
          <w:szCs w:val="32"/>
        </w:rPr>
      </w:pPr>
    </w:p>
    <w:p w14:paraId="33DEA9A1" w14:textId="68E88A41" w:rsidR="00FD6F3E" w:rsidRPr="00FD6F3E" w:rsidRDefault="00FD6F3E" w:rsidP="00FD6F3E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color w:val="FFFFFF" w:themeColor="background1"/>
          <w:sz w:val="24"/>
          <w:szCs w:val="24"/>
        </w:rPr>
      </w:pPr>
      <w:r w:rsidRPr="00FD6F3E">
        <w:rPr>
          <w:rFonts w:cstheme="minorHAnsi"/>
          <w:color w:val="FFFFFF" w:themeColor="background1"/>
          <w:sz w:val="24"/>
          <w:szCs w:val="24"/>
        </w:rPr>
        <w:t xml:space="preserve">Learning outcomes are defined, based on the </w:t>
      </w:r>
      <w:proofErr w:type="gramStart"/>
      <w:r w:rsidRPr="00FD6F3E">
        <w:rPr>
          <w:rFonts w:cstheme="minorHAnsi"/>
          <w:color w:val="FFFFFF" w:themeColor="background1"/>
          <w:sz w:val="24"/>
          <w:szCs w:val="24"/>
        </w:rPr>
        <w:t>age</w:t>
      </w:r>
      <w:proofErr w:type="gramEnd"/>
      <w:r w:rsidRPr="00FD6F3E">
        <w:rPr>
          <w:rFonts w:cstheme="minorHAnsi"/>
          <w:color w:val="FFFFFF" w:themeColor="background1"/>
          <w:sz w:val="24"/>
          <w:szCs w:val="24"/>
        </w:rPr>
        <w:t xml:space="preserve"> and needs of students</w:t>
      </w:r>
    </w:p>
    <w:p w14:paraId="3C0CC4B1" w14:textId="472BFBBE" w:rsidR="00FD6F3E" w:rsidRPr="00FD6F3E" w:rsidRDefault="00FD6F3E" w:rsidP="00FD6F3E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color w:val="FFFFFF" w:themeColor="background1"/>
          <w:sz w:val="24"/>
          <w:szCs w:val="24"/>
        </w:rPr>
      </w:pPr>
      <w:r w:rsidRPr="00FD6F3E">
        <w:rPr>
          <w:rFonts w:cstheme="minorHAnsi"/>
          <w:color w:val="FFFFFF" w:themeColor="background1"/>
          <w:sz w:val="24"/>
          <w:szCs w:val="24"/>
        </w:rPr>
        <w:t>The encounter involves two-way interaction between students and employers/employees</w:t>
      </w:r>
    </w:p>
    <w:p w14:paraId="7D658262" w14:textId="0A1BEE56" w:rsidR="00FD6F3E" w:rsidRDefault="00FD6F3E" w:rsidP="00FD6F3E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color w:val="FFFFFF" w:themeColor="background1"/>
          <w:sz w:val="24"/>
          <w:szCs w:val="24"/>
        </w:rPr>
      </w:pPr>
      <w:r w:rsidRPr="00FD6F3E">
        <w:rPr>
          <w:rFonts w:cstheme="minorHAnsi"/>
          <w:color w:val="FFFFFF" w:themeColor="background1"/>
          <w:sz w:val="24"/>
          <w:szCs w:val="24"/>
        </w:rPr>
        <w:t>There is evidence that the student actively participated</w:t>
      </w:r>
    </w:p>
    <w:p w14:paraId="6C9302FA" w14:textId="69C13382" w:rsidR="002F486C" w:rsidRDefault="002F486C" w:rsidP="002F486C">
      <w:pPr>
        <w:spacing w:line="276" w:lineRule="auto"/>
        <w:rPr>
          <w:rFonts w:cstheme="minorHAnsi"/>
          <w:color w:val="FFFFFF" w:themeColor="background1"/>
        </w:rPr>
      </w:pPr>
    </w:p>
    <w:p w14:paraId="179D6A67" w14:textId="77777777" w:rsidR="006B62B7" w:rsidRPr="00707E25" w:rsidRDefault="006B62B7" w:rsidP="00707E25">
      <w:pPr>
        <w:spacing w:line="276" w:lineRule="auto"/>
        <w:rPr>
          <w:rFonts w:cstheme="minorHAnsi"/>
          <w:color w:val="FFFFFF" w:themeColor="background1"/>
        </w:rPr>
      </w:pPr>
    </w:p>
    <w:sectPr w:rsidR="006B62B7" w:rsidRPr="00707E25" w:rsidSect="00AB0D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22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4D748" w14:textId="77777777" w:rsidR="00B8309D" w:rsidRDefault="00B8309D" w:rsidP="00165882">
      <w:r>
        <w:separator/>
      </w:r>
    </w:p>
  </w:endnote>
  <w:endnote w:type="continuationSeparator" w:id="0">
    <w:p w14:paraId="65C71899" w14:textId="77777777" w:rsidR="00B8309D" w:rsidRDefault="00B8309D" w:rsidP="0016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644D" w14:textId="77777777" w:rsidR="00142FCC" w:rsidRDefault="00142F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105D" w14:textId="1254EA1B" w:rsidR="00262E04" w:rsidRDefault="00262E04">
    <w:pPr>
      <w:pStyle w:val="Footer"/>
    </w:pPr>
    <w:r>
      <w:rPr>
        <w:noProof/>
      </w:rPr>
      <w:drawing>
        <wp:inline distT="0" distB="0" distL="0" distR="0" wp14:anchorId="5EA5C807" wp14:editId="5A072BD5">
          <wp:extent cx="396240" cy="1320800"/>
          <wp:effectExtent l="0" t="0" r="0" b="0"/>
          <wp:docPr id="12" name="Picture 12" descr="A picture containing cloth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cloth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388" cy="1321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CB2C" w14:textId="77777777" w:rsidR="00142FCC" w:rsidRDefault="00142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85E01" w14:textId="77777777" w:rsidR="00B8309D" w:rsidRDefault="00B8309D" w:rsidP="00165882">
      <w:r>
        <w:separator/>
      </w:r>
    </w:p>
  </w:footnote>
  <w:footnote w:type="continuationSeparator" w:id="0">
    <w:p w14:paraId="4B07FFB7" w14:textId="77777777" w:rsidR="00B8309D" w:rsidRDefault="00B8309D" w:rsidP="00165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3DBF" w14:textId="77777777" w:rsidR="00165882" w:rsidRDefault="001658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5EC8" w14:textId="4D14B78A" w:rsidR="005A4F37" w:rsidRDefault="00B70BCD">
    <w:pPr>
      <w:pStyle w:val="Header"/>
    </w:pPr>
    <w:r>
      <w:rPr>
        <w:noProof/>
      </w:rPr>
      <w:drawing>
        <wp:inline distT="0" distB="0" distL="0" distR="0" wp14:anchorId="2ED200E0" wp14:editId="43064025">
          <wp:extent cx="5727700" cy="1357630"/>
          <wp:effectExtent l="0" t="0" r="0" b="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35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EB55" w14:textId="77777777" w:rsidR="00165882" w:rsidRDefault="00165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CB5"/>
    <w:multiLevelType w:val="hybridMultilevel"/>
    <w:tmpl w:val="6D56F7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03BAF"/>
    <w:multiLevelType w:val="hybridMultilevel"/>
    <w:tmpl w:val="6D56F7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B7138"/>
    <w:multiLevelType w:val="hybridMultilevel"/>
    <w:tmpl w:val="9606C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01B9B"/>
    <w:multiLevelType w:val="hybridMultilevel"/>
    <w:tmpl w:val="6D56F758"/>
    <w:lvl w:ilvl="0" w:tplc="DF7669C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07905"/>
    <w:multiLevelType w:val="hybridMultilevel"/>
    <w:tmpl w:val="24F40F68"/>
    <w:lvl w:ilvl="0" w:tplc="25E401D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037F4"/>
    <w:multiLevelType w:val="hybridMultilevel"/>
    <w:tmpl w:val="834C5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73055"/>
    <w:multiLevelType w:val="hybridMultilevel"/>
    <w:tmpl w:val="29BEAA2E"/>
    <w:lvl w:ilvl="0" w:tplc="2222F8E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F0"/>
    <w:rsid w:val="0000698F"/>
    <w:rsid w:val="00007040"/>
    <w:rsid w:val="000143B8"/>
    <w:rsid w:val="00015AFD"/>
    <w:rsid w:val="00026C38"/>
    <w:rsid w:val="0003446D"/>
    <w:rsid w:val="00050973"/>
    <w:rsid w:val="000656F7"/>
    <w:rsid w:val="00065D5B"/>
    <w:rsid w:val="000667B2"/>
    <w:rsid w:val="00080AE2"/>
    <w:rsid w:val="00092E4E"/>
    <w:rsid w:val="00095A95"/>
    <w:rsid w:val="000A4B4E"/>
    <w:rsid w:val="000B02D7"/>
    <w:rsid w:val="000B300A"/>
    <w:rsid w:val="000C7774"/>
    <w:rsid w:val="000D7472"/>
    <w:rsid w:val="000E2ED6"/>
    <w:rsid w:val="000E5768"/>
    <w:rsid w:val="00112B93"/>
    <w:rsid w:val="0011370E"/>
    <w:rsid w:val="00121E0D"/>
    <w:rsid w:val="00121FE4"/>
    <w:rsid w:val="00142FCC"/>
    <w:rsid w:val="001610EC"/>
    <w:rsid w:val="00165882"/>
    <w:rsid w:val="001713E1"/>
    <w:rsid w:val="001806DD"/>
    <w:rsid w:val="001909E6"/>
    <w:rsid w:val="00190A4F"/>
    <w:rsid w:val="00195310"/>
    <w:rsid w:val="0019627E"/>
    <w:rsid w:val="001A2CDA"/>
    <w:rsid w:val="001A6DF6"/>
    <w:rsid w:val="001D0343"/>
    <w:rsid w:val="001D1617"/>
    <w:rsid w:val="001D4561"/>
    <w:rsid w:val="001D58C3"/>
    <w:rsid w:val="001D5E11"/>
    <w:rsid w:val="001D7D7F"/>
    <w:rsid w:val="001E5158"/>
    <w:rsid w:val="001E67C2"/>
    <w:rsid w:val="001E69A4"/>
    <w:rsid w:val="001F0928"/>
    <w:rsid w:val="001F318A"/>
    <w:rsid w:val="00205ECF"/>
    <w:rsid w:val="00224207"/>
    <w:rsid w:val="00226690"/>
    <w:rsid w:val="0023452B"/>
    <w:rsid w:val="002350B9"/>
    <w:rsid w:val="0024111D"/>
    <w:rsid w:val="00243819"/>
    <w:rsid w:val="00262E04"/>
    <w:rsid w:val="00270EF3"/>
    <w:rsid w:val="00274085"/>
    <w:rsid w:val="002758F9"/>
    <w:rsid w:val="00276DFC"/>
    <w:rsid w:val="0028682F"/>
    <w:rsid w:val="002A189E"/>
    <w:rsid w:val="002F129D"/>
    <w:rsid w:val="002F35AE"/>
    <w:rsid w:val="002F486C"/>
    <w:rsid w:val="002F6F5C"/>
    <w:rsid w:val="003034AB"/>
    <w:rsid w:val="00360728"/>
    <w:rsid w:val="00364281"/>
    <w:rsid w:val="0038150F"/>
    <w:rsid w:val="003A7757"/>
    <w:rsid w:val="003B0620"/>
    <w:rsid w:val="003B34BA"/>
    <w:rsid w:val="003B4754"/>
    <w:rsid w:val="003D0208"/>
    <w:rsid w:val="003E217F"/>
    <w:rsid w:val="003F4A30"/>
    <w:rsid w:val="00404DA8"/>
    <w:rsid w:val="00410EAE"/>
    <w:rsid w:val="004369F5"/>
    <w:rsid w:val="004538B9"/>
    <w:rsid w:val="004676F7"/>
    <w:rsid w:val="004717CA"/>
    <w:rsid w:val="004866F1"/>
    <w:rsid w:val="004866F2"/>
    <w:rsid w:val="00487BAB"/>
    <w:rsid w:val="00491B59"/>
    <w:rsid w:val="004949AD"/>
    <w:rsid w:val="004950B4"/>
    <w:rsid w:val="004959A3"/>
    <w:rsid w:val="00496226"/>
    <w:rsid w:val="004970C4"/>
    <w:rsid w:val="004A4B24"/>
    <w:rsid w:val="004B5A84"/>
    <w:rsid w:val="004B697A"/>
    <w:rsid w:val="004C2A14"/>
    <w:rsid w:val="004E31E3"/>
    <w:rsid w:val="004E3A3A"/>
    <w:rsid w:val="0050404B"/>
    <w:rsid w:val="00510688"/>
    <w:rsid w:val="00532B9A"/>
    <w:rsid w:val="00532DC2"/>
    <w:rsid w:val="00543431"/>
    <w:rsid w:val="005473DF"/>
    <w:rsid w:val="00554BA8"/>
    <w:rsid w:val="00561F50"/>
    <w:rsid w:val="005711AA"/>
    <w:rsid w:val="0059191A"/>
    <w:rsid w:val="005A4F37"/>
    <w:rsid w:val="005B5C6B"/>
    <w:rsid w:val="005E2437"/>
    <w:rsid w:val="0060161B"/>
    <w:rsid w:val="0060404E"/>
    <w:rsid w:val="0062095A"/>
    <w:rsid w:val="00620C44"/>
    <w:rsid w:val="006228CF"/>
    <w:rsid w:val="0063478B"/>
    <w:rsid w:val="006405DC"/>
    <w:rsid w:val="00651D28"/>
    <w:rsid w:val="00651E3C"/>
    <w:rsid w:val="006552DC"/>
    <w:rsid w:val="00655F39"/>
    <w:rsid w:val="00680205"/>
    <w:rsid w:val="006825B1"/>
    <w:rsid w:val="00682A7B"/>
    <w:rsid w:val="0069785C"/>
    <w:rsid w:val="006B2518"/>
    <w:rsid w:val="006B62B7"/>
    <w:rsid w:val="006C70DC"/>
    <w:rsid w:val="006C77CB"/>
    <w:rsid w:val="00701200"/>
    <w:rsid w:val="007012D5"/>
    <w:rsid w:val="00707E25"/>
    <w:rsid w:val="007169FB"/>
    <w:rsid w:val="00721B97"/>
    <w:rsid w:val="00725592"/>
    <w:rsid w:val="00764B02"/>
    <w:rsid w:val="0076793E"/>
    <w:rsid w:val="007915B1"/>
    <w:rsid w:val="00793FA5"/>
    <w:rsid w:val="007A1254"/>
    <w:rsid w:val="007A313E"/>
    <w:rsid w:val="007C02E8"/>
    <w:rsid w:val="007C412B"/>
    <w:rsid w:val="007C4AD1"/>
    <w:rsid w:val="007E24A1"/>
    <w:rsid w:val="007F402E"/>
    <w:rsid w:val="007F7215"/>
    <w:rsid w:val="00800F85"/>
    <w:rsid w:val="00822434"/>
    <w:rsid w:val="0082558B"/>
    <w:rsid w:val="008257B9"/>
    <w:rsid w:val="00825B65"/>
    <w:rsid w:val="00826739"/>
    <w:rsid w:val="00832167"/>
    <w:rsid w:val="008477AA"/>
    <w:rsid w:val="00854B98"/>
    <w:rsid w:val="008555B1"/>
    <w:rsid w:val="00862654"/>
    <w:rsid w:val="00867E9B"/>
    <w:rsid w:val="00871FA7"/>
    <w:rsid w:val="0088281B"/>
    <w:rsid w:val="008A40AE"/>
    <w:rsid w:val="008B6A0E"/>
    <w:rsid w:val="008C2548"/>
    <w:rsid w:val="008C4C83"/>
    <w:rsid w:val="008D5614"/>
    <w:rsid w:val="00903472"/>
    <w:rsid w:val="0091672A"/>
    <w:rsid w:val="0092210D"/>
    <w:rsid w:val="00925D00"/>
    <w:rsid w:val="00960B37"/>
    <w:rsid w:val="00961999"/>
    <w:rsid w:val="00964A0B"/>
    <w:rsid w:val="00966694"/>
    <w:rsid w:val="009704C1"/>
    <w:rsid w:val="00974C53"/>
    <w:rsid w:val="009873DA"/>
    <w:rsid w:val="009A4C3C"/>
    <w:rsid w:val="009B0633"/>
    <w:rsid w:val="009B293D"/>
    <w:rsid w:val="009D1CF5"/>
    <w:rsid w:val="009E768C"/>
    <w:rsid w:val="00A01D06"/>
    <w:rsid w:val="00A34C52"/>
    <w:rsid w:val="00A37DCE"/>
    <w:rsid w:val="00A46274"/>
    <w:rsid w:val="00A5100C"/>
    <w:rsid w:val="00A557AD"/>
    <w:rsid w:val="00A72230"/>
    <w:rsid w:val="00A863AB"/>
    <w:rsid w:val="00A95329"/>
    <w:rsid w:val="00A97FC5"/>
    <w:rsid w:val="00AB0D65"/>
    <w:rsid w:val="00AD02B7"/>
    <w:rsid w:val="00AE1588"/>
    <w:rsid w:val="00AE3AC5"/>
    <w:rsid w:val="00AF0A6B"/>
    <w:rsid w:val="00AF10F1"/>
    <w:rsid w:val="00B10C4B"/>
    <w:rsid w:val="00B265A1"/>
    <w:rsid w:val="00B31DB9"/>
    <w:rsid w:val="00B3222E"/>
    <w:rsid w:val="00B337E1"/>
    <w:rsid w:val="00B407B0"/>
    <w:rsid w:val="00B70BCD"/>
    <w:rsid w:val="00B70C61"/>
    <w:rsid w:val="00B74341"/>
    <w:rsid w:val="00B8309D"/>
    <w:rsid w:val="00B83D88"/>
    <w:rsid w:val="00B94F99"/>
    <w:rsid w:val="00BB7763"/>
    <w:rsid w:val="00BC06F0"/>
    <w:rsid w:val="00BC13D1"/>
    <w:rsid w:val="00BC4FAC"/>
    <w:rsid w:val="00BE0FDB"/>
    <w:rsid w:val="00BE2D12"/>
    <w:rsid w:val="00BF0B66"/>
    <w:rsid w:val="00C0147A"/>
    <w:rsid w:val="00C0341D"/>
    <w:rsid w:val="00C03AD4"/>
    <w:rsid w:val="00C06765"/>
    <w:rsid w:val="00C14267"/>
    <w:rsid w:val="00C356FE"/>
    <w:rsid w:val="00C473C8"/>
    <w:rsid w:val="00C83422"/>
    <w:rsid w:val="00C84A4E"/>
    <w:rsid w:val="00C9261D"/>
    <w:rsid w:val="00C93737"/>
    <w:rsid w:val="00C97E52"/>
    <w:rsid w:val="00CB1FD0"/>
    <w:rsid w:val="00CB33ED"/>
    <w:rsid w:val="00CC410C"/>
    <w:rsid w:val="00CC5061"/>
    <w:rsid w:val="00CD2A20"/>
    <w:rsid w:val="00CF2CC2"/>
    <w:rsid w:val="00CF6D54"/>
    <w:rsid w:val="00D03607"/>
    <w:rsid w:val="00D13B71"/>
    <w:rsid w:val="00D31FAE"/>
    <w:rsid w:val="00D418AA"/>
    <w:rsid w:val="00D4438C"/>
    <w:rsid w:val="00D446F7"/>
    <w:rsid w:val="00D4503A"/>
    <w:rsid w:val="00D82B47"/>
    <w:rsid w:val="00D83E05"/>
    <w:rsid w:val="00D965EE"/>
    <w:rsid w:val="00DA2826"/>
    <w:rsid w:val="00DC01C6"/>
    <w:rsid w:val="00DD3AD6"/>
    <w:rsid w:val="00DD4A55"/>
    <w:rsid w:val="00E04078"/>
    <w:rsid w:val="00E049A4"/>
    <w:rsid w:val="00E05D2D"/>
    <w:rsid w:val="00E37356"/>
    <w:rsid w:val="00E43CA6"/>
    <w:rsid w:val="00E508C0"/>
    <w:rsid w:val="00E571A8"/>
    <w:rsid w:val="00E60C62"/>
    <w:rsid w:val="00E617A4"/>
    <w:rsid w:val="00E63699"/>
    <w:rsid w:val="00EA09BA"/>
    <w:rsid w:val="00EB6FB7"/>
    <w:rsid w:val="00EC1163"/>
    <w:rsid w:val="00EC3197"/>
    <w:rsid w:val="00EF132F"/>
    <w:rsid w:val="00EF7F4F"/>
    <w:rsid w:val="00F22557"/>
    <w:rsid w:val="00F26E76"/>
    <w:rsid w:val="00F3311B"/>
    <w:rsid w:val="00F36556"/>
    <w:rsid w:val="00F440CC"/>
    <w:rsid w:val="00F51C86"/>
    <w:rsid w:val="00F568BC"/>
    <w:rsid w:val="00F6395D"/>
    <w:rsid w:val="00F71A75"/>
    <w:rsid w:val="00F73ECF"/>
    <w:rsid w:val="00FB51D4"/>
    <w:rsid w:val="00FD6F3E"/>
    <w:rsid w:val="00FE4DC4"/>
    <w:rsid w:val="00FE6B5C"/>
    <w:rsid w:val="00FF1310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1BCB5"/>
  <w14:defaultImageDpi w14:val="32767"/>
  <w15:chartTrackingRefBased/>
  <w15:docId w15:val="{6CED44E8-CC33-9748-8A82-851BC832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882"/>
  </w:style>
  <w:style w:type="paragraph" w:styleId="Footer">
    <w:name w:val="footer"/>
    <w:basedOn w:val="Normal"/>
    <w:link w:val="FooterChar"/>
    <w:uiPriority w:val="99"/>
    <w:unhideWhenUsed/>
    <w:rsid w:val="00165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882"/>
  </w:style>
  <w:style w:type="table" w:styleId="TableGrid">
    <w:name w:val="Table Grid"/>
    <w:basedOn w:val="TableNormal"/>
    <w:uiPriority w:val="39"/>
    <w:rsid w:val="007C4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C4A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C4A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7C4A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7C4A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7C4AD1"/>
    <w:tblPr>
      <w:tblStyleRowBandSize w:val="1"/>
      <w:tblStyleColBandSize w:val="1"/>
      <w:tblBorders>
        <w:top w:val="single" w:sz="4" w:space="0" w:color="90EAD1" w:themeColor="accent1" w:themeTint="66"/>
        <w:left w:val="single" w:sz="4" w:space="0" w:color="90EAD1" w:themeColor="accent1" w:themeTint="66"/>
        <w:bottom w:val="single" w:sz="4" w:space="0" w:color="90EAD1" w:themeColor="accent1" w:themeTint="66"/>
        <w:right w:val="single" w:sz="4" w:space="0" w:color="90EAD1" w:themeColor="accent1" w:themeTint="66"/>
        <w:insideH w:val="single" w:sz="4" w:space="0" w:color="90EAD1" w:themeColor="accent1" w:themeTint="66"/>
        <w:insideV w:val="single" w:sz="4" w:space="0" w:color="90EAD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E0B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E0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C4AD1"/>
    <w:tblPr>
      <w:tblStyleRowBandSize w:val="1"/>
      <w:tblStyleColBandSize w:val="1"/>
      <w:tblBorders>
        <w:top w:val="single" w:sz="4" w:space="0" w:color="AEDEEB" w:themeColor="accent3" w:themeTint="66"/>
        <w:left w:val="single" w:sz="4" w:space="0" w:color="AEDEEB" w:themeColor="accent3" w:themeTint="66"/>
        <w:bottom w:val="single" w:sz="4" w:space="0" w:color="AEDEEB" w:themeColor="accent3" w:themeTint="66"/>
        <w:right w:val="single" w:sz="4" w:space="0" w:color="AEDEEB" w:themeColor="accent3" w:themeTint="66"/>
        <w:insideH w:val="single" w:sz="4" w:space="0" w:color="AEDEEB" w:themeColor="accent3" w:themeTint="66"/>
        <w:insideV w:val="single" w:sz="4" w:space="0" w:color="AEDEE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6CEE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CEE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7C4A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7C4AD1"/>
    <w:tblPr>
      <w:tblStyleRowBandSize w:val="1"/>
      <w:tblStyleColBandSize w:val="1"/>
      <w:tblBorders>
        <w:top w:val="single" w:sz="2" w:space="0" w:color="59E0BB" w:themeColor="accent1" w:themeTint="99"/>
        <w:bottom w:val="single" w:sz="2" w:space="0" w:color="59E0BB" w:themeColor="accent1" w:themeTint="99"/>
        <w:insideH w:val="single" w:sz="2" w:space="0" w:color="59E0BB" w:themeColor="accent1" w:themeTint="99"/>
        <w:insideV w:val="single" w:sz="2" w:space="0" w:color="59E0B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E0B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E0B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4E8" w:themeFill="accent1" w:themeFillTint="33"/>
      </w:tcPr>
    </w:tblStylePr>
    <w:tblStylePr w:type="band1Horz">
      <w:tblPr/>
      <w:tcPr>
        <w:shd w:val="clear" w:color="auto" w:fill="C7F4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C4AD1"/>
    <w:tblPr>
      <w:tblStyleRowBandSize w:val="1"/>
      <w:tblStyleColBandSize w:val="1"/>
      <w:tblBorders>
        <w:top w:val="single" w:sz="2" w:space="0" w:color="B9D98F" w:themeColor="accent2" w:themeTint="99"/>
        <w:bottom w:val="single" w:sz="2" w:space="0" w:color="B9D98F" w:themeColor="accent2" w:themeTint="99"/>
        <w:insideH w:val="single" w:sz="2" w:space="0" w:color="B9D98F" w:themeColor="accent2" w:themeTint="99"/>
        <w:insideV w:val="single" w:sz="2" w:space="0" w:color="B9D98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D98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D98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D9" w:themeFill="accent2" w:themeFillTint="33"/>
      </w:tcPr>
    </w:tblStylePr>
    <w:tblStylePr w:type="band1Horz">
      <w:tblPr/>
      <w:tcPr>
        <w:shd w:val="clear" w:color="auto" w:fill="E7F2D9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7C4AD1"/>
    <w:tblPr>
      <w:tblStyleRowBandSize w:val="1"/>
      <w:tblStyleColBandSize w:val="1"/>
      <w:tblBorders>
        <w:top w:val="single" w:sz="4" w:space="0" w:color="B9D98F" w:themeColor="accent2" w:themeTint="99"/>
        <w:left w:val="single" w:sz="4" w:space="0" w:color="B9D98F" w:themeColor="accent2" w:themeTint="99"/>
        <w:bottom w:val="single" w:sz="4" w:space="0" w:color="B9D98F" w:themeColor="accent2" w:themeTint="99"/>
        <w:right w:val="single" w:sz="4" w:space="0" w:color="B9D98F" w:themeColor="accent2" w:themeTint="99"/>
        <w:insideH w:val="single" w:sz="4" w:space="0" w:color="B9D98F" w:themeColor="accent2" w:themeTint="99"/>
        <w:insideV w:val="single" w:sz="4" w:space="0" w:color="B9D98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C145" w:themeColor="accent2"/>
          <w:left w:val="single" w:sz="4" w:space="0" w:color="8BC145" w:themeColor="accent2"/>
          <w:bottom w:val="single" w:sz="4" w:space="0" w:color="8BC145" w:themeColor="accent2"/>
          <w:right w:val="single" w:sz="4" w:space="0" w:color="8BC145" w:themeColor="accent2"/>
          <w:insideH w:val="nil"/>
          <w:insideV w:val="nil"/>
        </w:tcBorders>
        <w:shd w:val="clear" w:color="auto" w:fill="8BC145" w:themeFill="accent2"/>
      </w:tcPr>
    </w:tblStylePr>
    <w:tblStylePr w:type="lastRow">
      <w:rPr>
        <w:b/>
        <w:bCs/>
      </w:rPr>
      <w:tblPr/>
      <w:tcPr>
        <w:tcBorders>
          <w:top w:val="double" w:sz="4" w:space="0" w:color="8BC1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D9" w:themeFill="accent2" w:themeFillTint="33"/>
      </w:tcPr>
    </w:tblStylePr>
    <w:tblStylePr w:type="band1Horz">
      <w:tblPr/>
      <w:tcPr>
        <w:shd w:val="clear" w:color="auto" w:fill="E7F2D9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7C4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2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C1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C1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BC1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BC145" w:themeFill="accent2"/>
      </w:tcPr>
    </w:tblStylePr>
    <w:tblStylePr w:type="band1Vert">
      <w:tblPr/>
      <w:tcPr>
        <w:shd w:val="clear" w:color="auto" w:fill="D0E6B4" w:themeFill="accent2" w:themeFillTint="66"/>
      </w:tcPr>
    </w:tblStylePr>
    <w:tblStylePr w:type="band1Horz">
      <w:tblPr/>
      <w:tcPr>
        <w:shd w:val="clear" w:color="auto" w:fill="D0E6B4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7C4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4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9A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9A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9A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9A78" w:themeFill="accent1"/>
      </w:tcPr>
    </w:tblStylePr>
    <w:tblStylePr w:type="band1Vert">
      <w:tblPr/>
      <w:tcPr>
        <w:shd w:val="clear" w:color="auto" w:fill="90EAD1" w:themeFill="accent1" w:themeFillTint="66"/>
      </w:tcPr>
    </w:tblStylePr>
    <w:tblStylePr w:type="band1Horz">
      <w:tblPr/>
      <w:tcPr>
        <w:shd w:val="clear" w:color="auto" w:fill="90EAD1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7C4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F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AF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AF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AF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AFCE" w:themeFill="accent3"/>
      </w:tcPr>
    </w:tblStylePr>
    <w:tblStylePr w:type="band1Vert">
      <w:tblPr/>
      <w:tcPr>
        <w:shd w:val="clear" w:color="auto" w:fill="AEDEEB" w:themeFill="accent3" w:themeFillTint="66"/>
      </w:tcPr>
    </w:tblStylePr>
    <w:tblStylePr w:type="band1Horz">
      <w:tblPr/>
      <w:tcPr>
        <w:shd w:val="clear" w:color="auto" w:fill="AEDEEB" w:themeFill="accent3" w:themeFillTint="66"/>
      </w:tcPr>
    </w:tblStylePr>
  </w:style>
  <w:style w:type="paragraph" w:customStyle="1" w:styleId="paragraph">
    <w:name w:val="paragraph"/>
    <w:basedOn w:val="Normal"/>
    <w:rsid w:val="004E31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4E31E3"/>
  </w:style>
  <w:style w:type="paragraph" w:styleId="ListParagraph">
    <w:name w:val="List Paragraph"/>
    <w:basedOn w:val="Normal"/>
    <w:uiPriority w:val="34"/>
    <w:qFormat/>
    <w:rsid w:val="004866F1"/>
    <w:pPr>
      <w:spacing w:after="160" w:line="259" w:lineRule="auto"/>
      <w:ind w:left="720"/>
      <w:contextualSpacing/>
    </w:pPr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1610EC"/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44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344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37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esources.careersandenterprise.co.uk/resources/making-it-meaningfu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D9A78"/>
      </a:accent1>
      <a:accent2>
        <a:srgbClr val="8BC145"/>
      </a:accent2>
      <a:accent3>
        <a:srgbClr val="36AFCE"/>
      </a:accent3>
      <a:accent4>
        <a:srgbClr val="1D6FA9"/>
      </a:accent4>
      <a:accent5>
        <a:srgbClr val="B74919"/>
      </a:accent5>
      <a:accent6>
        <a:srgbClr val="F19D1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Emrys Green</cp:lastModifiedBy>
  <cp:revision>258</cp:revision>
  <dcterms:created xsi:type="dcterms:W3CDTF">2022-01-17T15:21:00Z</dcterms:created>
  <dcterms:modified xsi:type="dcterms:W3CDTF">2022-02-28T10:16:00Z</dcterms:modified>
</cp:coreProperties>
</file>